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C99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年度社区教育优秀课程资源</w:t>
      </w:r>
    </w:p>
    <w:p w14:paraId="241E581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遴选活动的通知</w:t>
      </w:r>
    </w:p>
    <w:p w14:paraId="0F65EA8B">
      <w:pPr>
        <w:spacing w:line="580" w:lineRule="exact"/>
        <w:rPr>
          <w:rFonts w:hint="eastAsia"/>
        </w:rPr>
      </w:pPr>
    </w:p>
    <w:p w14:paraId="2C5AD465">
      <w:pPr>
        <w:spacing w:line="58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各</w:t>
      </w:r>
      <w:r>
        <w:rPr>
          <w:rFonts w:hint="eastAsia" w:hAnsi="仿宋_GB2312" w:cs="仿宋_GB2312"/>
          <w:szCs w:val="32"/>
          <w:lang w:val="en-US" w:eastAsia="zh-CN"/>
        </w:rPr>
        <w:t>教学单位</w:t>
      </w:r>
      <w:r>
        <w:rPr>
          <w:rFonts w:hint="eastAsia" w:hAnsi="仿宋_GB2312" w:cs="仿宋_GB2312"/>
          <w:szCs w:val="32"/>
        </w:rPr>
        <w:t>：</w:t>
      </w:r>
    </w:p>
    <w:p w14:paraId="401E61DB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 w:hAnsi="仿宋_GB2312" w:cs="仿宋_GB2312"/>
          <w:szCs w:val="32"/>
        </w:rPr>
        <w:t>为深入贯彻落实全国和全省教育大会精神，落实国家教育数字化战略行动，丰富优质教育资源供给，提升终身学习公共服务水平，助力我省终身教育体系构建和学习型社会建设，</w:t>
      </w:r>
      <w:r>
        <w:rPr>
          <w:rFonts w:hint="eastAsia" w:hAnsi="仿宋_GB2312" w:cs="仿宋_GB2312"/>
          <w:szCs w:val="32"/>
          <w:lang w:val="en-US" w:eastAsia="zh-CN"/>
        </w:rPr>
        <w:t>我校</w:t>
      </w:r>
      <w:r>
        <w:rPr>
          <w:rFonts w:hint="eastAsia"/>
          <w:szCs w:val="32"/>
        </w:rPr>
        <w:t>开展202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年度社区教育优秀课程资源遴选活动。现将有关事项通知如下。</w:t>
      </w:r>
    </w:p>
    <w:p w14:paraId="61428290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一、申报要求</w:t>
      </w:r>
    </w:p>
    <w:p w14:paraId="39321680"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一</w:t>
      </w:r>
      <w:r>
        <w:rPr>
          <w:rFonts w:hint="eastAsia" w:hAnsi="仿宋_GB2312" w:cs="仿宋_GB2312"/>
          <w:szCs w:val="32"/>
        </w:rPr>
        <w:t>）申报课程资源应以培育和践行社会主义核心价值观为引领，具有一定的创新性、时代性、示范性。</w:t>
      </w:r>
    </w:p>
    <w:p w14:paraId="6BA670C0"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二</w:t>
      </w:r>
      <w:r>
        <w:rPr>
          <w:rFonts w:hint="eastAsia" w:hAnsi="仿宋_GB2312" w:cs="仿宋_GB2312"/>
          <w:szCs w:val="32"/>
        </w:rPr>
        <w:t>）申报课程资源应具有针对性和实用性，选题贴近社会、贴近生活、贴近居民，聚焦居民所思所想所盼，更好满足社区居民多样化的精神文化需求。</w:t>
      </w:r>
    </w:p>
    <w:p w14:paraId="1F0488D1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三</w:t>
      </w:r>
      <w:r>
        <w:rPr>
          <w:rFonts w:hint="eastAsia" w:hAnsi="仿宋_GB2312" w:cs="仿宋_GB2312"/>
          <w:szCs w:val="32"/>
        </w:rPr>
        <w:t>）申报课程资源应集中某个专题或某个知识点，且符合《山东省社区教育课程资源分类表》</w:t>
      </w:r>
      <w:r>
        <w:rPr>
          <w:rFonts w:hint="eastAsia"/>
          <w:szCs w:val="32"/>
        </w:rPr>
        <w:t>（附件1）要求。</w:t>
      </w:r>
    </w:p>
    <w:p w14:paraId="789D828B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  <w:lang w:val="en-US" w:eastAsia="zh-CN"/>
        </w:rPr>
        <w:t>四</w:t>
      </w:r>
      <w:r>
        <w:rPr>
          <w:rFonts w:hint="eastAsia"/>
          <w:szCs w:val="32"/>
        </w:rPr>
        <w:t>）申报课程资源应遵循课程目标、课程内容、课程实施、课程评价等课程建设的一般规律，教学过程完整，具体参照《山东省社区教育优秀课程资源遴选标准》（附件2）。</w:t>
      </w:r>
    </w:p>
    <w:p w14:paraId="3634401F"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五</w:t>
      </w:r>
      <w:r>
        <w:rPr>
          <w:rFonts w:hint="eastAsia" w:hAnsi="仿宋_GB2312" w:cs="仿宋_GB2312"/>
          <w:szCs w:val="32"/>
        </w:rPr>
        <w:t>）申报课程资源</w:t>
      </w:r>
      <w:r>
        <w:rPr>
          <w:rFonts w:hint="eastAsia"/>
          <w:szCs w:val="32"/>
        </w:rPr>
        <w:t>均为数字视频资源。每门课程资源聚焦一个主题，形成系列，以5—10个微课为宜，单个微课时长10-20分钟为宜。视频技术标准：分辨率不低于1920x1080（1080p），宽高比16：9；采用H.264/AVC(MPEG-4)编码、使用二次编码的MP4格式；视频码流率不低于8000Kb(CBR)，帧速率不低于25fps；图像无抖动跳跃，色彩无突变，图像信噪比不低于55dB，无明显杂波；音频压缩采用AAC(MPEG4)格式，采样率48KHz，双声道，降噪处理；声音和画面同步，无交流声或其他杂音。</w:t>
      </w:r>
      <w:r>
        <w:rPr>
          <w:rFonts w:hint="eastAsia" w:hAnsi="仿宋_GB2312" w:cs="仿宋_GB2312"/>
          <w:szCs w:val="32"/>
        </w:rPr>
        <w:t xml:space="preserve"> </w:t>
      </w:r>
    </w:p>
    <w:p w14:paraId="085D5209"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六</w:t>
      </w:r>
      <w:r>
        <w:rPr>
          <w:rFonts w:hint="eastAsia" w:hAnsi="仿宋_GB2312" w:cs="仿宋_GB2312"/>
          <w:szCs w:val="32"/>
        </w:rPr>
        <w:t>）申报课程资源确保无意识形态问题，符合国家法律法规有关规定，且为原创或具有独立知识产权的作品，如引用他人成果需注明，并征得相关著作权人的同意。</w:t>
      </w:r>
    </w:p>
    <w:p w14:paraId="7235483D"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七</w:t>
      </w:r>
      <w:r>
        <w:rPr>
          <w:rFonts w:hint="eastAsia" w:hAnsi="仿宋_GB2312" w:cs="仿宋_GB2312"/>
          <w:szCs w:val="32"/>
        </w:rPr>
        <w:t>）凡参加过往届全省社区教育优秀课程资源遴选活动的作品，不得重复申报，一经发现，取消参评资格。</w:t>
      </w:r>
    </w:p>
    <w:p w14:paraId="3AE83F10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 w:hAnsi="仿宋_GB2312" w:cs="仿宋_GB2312"/>
          <w:szCs w:val="32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八</w:t>
      </w:r>
      <w:r>
        <w:rPr>
          <w:rFonts w:hint="eastAsia" w:hAnsi="仿宋_GB2312" w:cs="仿宋_GB2312"/>
          <w:szCs w:val="32"/>
        </w:rPr>
        <w:t>）</w:t>
      </w:r>
      <w:r>
        <w:rPr>
          <w:rFonts w:hint="eastAsia"/>
          <w:szCs w:val="32"/>
          <w:highlight w:val="yellow"/>
        </w:rPr>
        <w:t>各高等学校组织本单位课程资源的申报，每校申报数量总计不超过30门（每一大类限5门）。</w:t>
      </w:r>
    </w:p>
    <w:p w14:paraId="15A07F95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szCs w:val="32"/>
          <w:lang w:val="en-US" w:eastAsia="zh-CN"/>
        </w:rPr>
        <w:t>申报时间</w:t>
      </w:r>
    </w:p>
    <w:p w14:paraId="55539DBB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hAnsi="仿宋_GB2312" w:cs="仿宋_GB2312"/>
          <w:szCs w:val="32"/>
          <w:lang w:val="en-US" w:eastAsia="zh-CN"/>
        </w:rPr>
        <w:t>各学院负责</w:t>
      </w:r>
      <w:r>
        <w:rPr>
          <w:rFonts w:hint="eastAsia"/>
          <w:szCs w:val="32"/>
        </w:rPr>
        <w:t>完成本单位所辖课程资源的审核，确保所属系列、分类正确，无意识形态问题。</w:t>
      </w:r>
      <w:r>
        <w:rPr>
          <w:rFonts w:hint="eastAsia" w:hAnsi="仿宋_GB2312" w:cs="仿宋_GB2312"/>
          <w:szCs w:val="32"/>
        </w:rPr>
        <w:t>申报</w:t>
      </w:r>
      <w:r>
        <w:rPr>
          <w:rFonts w:hint="eastAsia" w:hAnsi="仿宋_GB2312" w:cs="仿宋_GB2312"/>
          <w:szCs w:val="32"/>
          <w:lang w:val="en-US" w:eastAsia="zh-CN"/>
        </w:rPr>
        <w:t>截止</w:t>
      </w:r>
      <w:r>
        <w:rPr>
          <w:rFonts w:hint="eastAsia" w:hAnsi="仿宋_GB2312" w:cs="仿宋_GB2312"/>
          <w:szCs w:val="32"/>
        </w:rPr>
        <w:t>时间</w:t>
      </w:r>
      <w:r>
        <w:rPr>
          <w:rFonts w:hint="eastAsia"/>
          <w:szCs w:val="32"/>
        </w:rPr>
        <w:t>：9月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上午10点前</w:t>
      </w:r>
      <w:r>
        <w:rPr>
          <w:rFonts w:hint="eastAsia"/>
          <w:szCs w:val="32"/>
        </w:rPr>
        <w:t>。</w:t>
      </w:r>
    </w:p>
    <w:p w14:paraId="0BE8CF3A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三、报送</w:t>
      </w:r>
      <w:r>
        <w:rPr>
          <w:rFonts w:hint="eastAsia" w:ascii="黑体" w:hAnsi="黑体" w:eastAsia="黑体" w:cs="黑体"/>
          <w:szCs w:val="32"/>
          <w:lang w:val="en-US" w:eastAsia="zh-CN"/>
        </w:rPr>
        <w:t>材料</w:t>
      </w:r>
    </w:p>
    <w:p w14:paraId="7050540B">
      <w:pPr>
        <w:wordWrap w:val="0"/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各学院将</w:t>
      </w:r>
      <w:r>
        <w:rPr>
          <w:rFonts w:hint="eastAsia"/>
          <w:szCs w:val="32"/>
        </w:rPr>
        <w:t>课程资源及佐证材料</w:t>
      </w:r>
      <w:r>
        <w:rPr>
          <w:rFonts w:hint="eastAsia"/>
          <w:szCs w:val="32"/>
          <w:lang w:val="en-US" w:eastAsia="zh-CN"/>
        </w:rPr>
        <w:t>汇总后，拷贝到U盘中交教学管理科</w:t>
      </w:r>
      <w:r>
        <w:rPr>
          <w:rFonts w:hint="eastAsia"/>
          <w:szCs w:val="32"/>
        </w:rPr>
        <w:t>。其中，课程资源名称填写课程名称（请勿添加系列和类别），且要选择对应的资源类别。微课的命名应规范并反映主题内容，名称间用“_”分割，有顺序的标注顺序（如齐鲁家风家训_第1讲），并将《山东省社区教育优秀课程资源遴选报</w:t>
      </w:r>
      <w:r>
        <w:rPr>
          <w:rFonts w:hint="eastAsia"/>
          <w:szCs w:val="32"/>
          <w:lang w:val="en-US" w:eastAsia="zh-CN"/>
        </w:rPr>
        <w:t>送</w:t>
      </w:r>
      <w:r>
        <w:rPr>
          <w:rFonts w:hint="eastAsia"/>
          <w:szCs w:val="32"/>
        </w:rPr>
        <w:t>表》（附件4）、《202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年度社区教育优秀课程资源意识形态审核情况说明》（附件5）、《山东省社区教育优秀课程资源遴选报</w:t>
      </w:r>
      <w:r>
        <w:rPr>
          <w:rFonts w:hint="eastAsia"/>
          <w:szCs w:val="32"/>
          <w:lang w:val="en-US" w:eastAsia="zh-CN"/>
        </w:rPr>
        <w:t>送</w:t>
      </w:r>
      <w:r>
        <w:rPr>
          <w:rFonts w:hint="eastAsia"/>
          <w:szCs w:val="32"/>
        </w:rPr>
        <w:t>汇总表》（附件6），以及与参评课程资源相关的佐证材料（如获奖证书等）。作者单位信息应准确完整，作者应填写负责人和全部参与者，单位名称应与单位公章一致。</w:t>
      </w:r>
    </w:p>
    <w:p w14:paraId="7F5B4A45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四、资源使用</w:t>
      </w:r>
    </w:p>
    <w:p w14:paraId="494F5945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所有入选的2026年度山东省社区教育优质课程资源，均将通过“山东省全民终身学习公共服务平台”（</w:t>
      </w:r>
      <w:r>
        <w:rPr>
          <w:rFonts w:hint="eastAsia"/>
          <w:szCs w:val="32"/>
        </w:rPr>
        <w:fldChar w:fldCharType="begin"/>
      </w:r>
      <w:r>
        <w:rPr>
          <w:rFonts w:hint="eastAsia"/>
          <w:szCs w:val="32"/>
        </w:rPr>
        <w:instrText xml:space="preserve"> HYPERLINK "https://lifelong.sdou.edu.cn" </w:instrText>
      </w:r>
      <w:r>
        <w:rPr>
          <w:rFonts w:hint="eastAsia"/>
          <w:szCs w:val="32"/>
        </w:rPr>
        <w:fldChar w:fldCharType="separate"/>
      </w:r>
      <w:r>
        <w:rPr>
          <w:rFonts w:hint="eastAsia"/>
          <w:szCs w:val="32"/>
        </w:rPr>
        <w:t>https://lifelong.sdou.edu.cn</w:t>
      </w:r>
      <w:r>
        <w:rPr>
          <w:rFonts w:hint="eastAsia"/>
          <w:szCs w:val="32"/>
        </w:rPr>
        <w:fldChar w:fldCharType="end"/>
      </w:r>
      <w:r>
        <w:rPr>
          <w:rFonts w:hint="eastAsia"/>
          <w:szCs w:val="32"/>
        </w:rPr>
        <w:t>）面向全省社区居民免费开放共享。</w:t>
      </w:r>
    </w:p>
    <w:p w14:paraId="0A3FFF88">
      <w:pPr>
        <w:spacing w:line="58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五、联系方式</w:t>
      </w:r>
    </w:p>
    <w:p w14:paraId="142385F0">
      <w:pPr>
        <w:spacing w:line="580" w:lineRule="exact"/>
        <w:ind w:firstLine="640" w:firstLineChars="200"/>
        <w:rPr>
          <w:rFonts w:hint="default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教学管理科：牛健，13685362885</w:t>
      </w:r>
    </w:p>
    <w:p w14:paraId="303EE03B">
      <w:pPr>
        <w:spacing w:line="580" w:lineRule="exact"/>
        <w:rPr>
          <w:rFonts w:hint="eastAsia"/>
          <w:szCs w:val="32"/>
        </w:rPr>
      </w:pPr>
    </w:p>
    <w:p w14:paraId="19EC911B">
      <w:pPr>
        <w:spacing w:line="58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附件：1.山东省社区教育课程资源分类表</w:t>
      </w:r>
    </w:p>
    <w:p w14:paraId="76042B29">
      <w:pPr>
        <w:spacing w:line="580" w:lineRule="exact"/>
        <w:ind w:firstLine="1600" w:firstLineChars="500"/>
        <w:rPr>
          <w:rFonts w:hint="eastAsia"/>
          <w:szCs w:val="32"/>
        </w:rPr>
      </w:pPr>
      <w:r>
        <w:rPr>
          <w:rFonts w:hint="eastAsia"/>
          <w:szCs w:val="32"/>
        </w:rPr>
        <w:t>2.山东省社区教育优秀课程资源遴选标准</w:t>
      </w:r>
    </w:p>
    <w:p w14:paraId="0490B733">
      <w:pPr>
        <w:spacing w:line="580" w:lineRule="exact"/>
        <w:ind w:firstLine="1600" w:firstLineChars="500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.山东省社区教育优秀课程资源遴选申报表</w:t>
      </w:r>
    </w:p>
    <w:p w14:paraId="30E3A957">
      <w:pPr>
        <w:spacing w:line="580" w:lineRule="exact"/>
        <w:ind w:firstLine="1600" w:firstLineChars="5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.2025年度社区教育优秀课程资源意识形态审核情</w:t>
      </w:r>
    </w:p>
    <w:p w14:paraId="3751D57E">
      <w:pPr>
        <w:spacing w:line="580" w:lineRule="exact"/>
        <w:ind w:firstLine="1920" w:firstLineChars="600"/>
        <w:rPr>
          <w:rFonts w:hint="eastAsia"/>
          <w:szCs w:val="32"/>
        </w:rPr>
      </w:pPr>
      <w:r>
        <w:rPr>
          <w:rFonts w:hint="eastAsia"/>
          <w:szCs w:val="32"/>
        </w:rPr>
        <w:t>况说明</w:t>
      </w:r>
    </w:p>
    <w:p w14:paraId="3C1F2AFB">
      <w:pPr>
        <w:spacing w:line="580" w:lineRule="exact"/>
        <w:ind w:firstLine="1600" w:firstLineChars="500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.山东省社区教育优秀课程资源遴选申报汇总表</w:t>
      </w:r>
    </w:p>
    <w:p w14:paraId="4C90516B">
      <w:pPr>
        <w:spacing w:line="580" w:lineRule="exact"/>
        <w:rPr>
          <w:rFonts w:hint="eastAsia"/>
          <w:szCs w:val="32"/>
        </w:rPr>
      </w:pPr>
    </w:p>
    <w:p w14:paraId="642BE6E7">
      <w:pPr>
        <w:spacing w:line="580" w:lineRule="exact"/>
        <w:rPr>
          <w:rFonts w:hint="eastAsia"/>
          <w:szCs w:val="32"/>
        </w:rPr>
      </w:pPr>
    </w:p>
    <w:p w14:paraId="452B40B3">
      <w:pPr>
        <w:spacing w:line="580" w:lineRule="exact"/>
        <w:jc w:val="center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</w:rPr>
        <w:t xml:space="preserve">                       </w:t>
      </w:r>
      <w:r>
        <w:rPr>
          <w:rFonts w:hint="eastAsia"/>
          <w:szCs w:val="32"/>
          <w:lang w:val="en-US" w:eastAsia="zh-CN"/>
        </w:rPr>
        <w:t>教务处</w:t>
      </w:r>
    </w:p>
    <w:p w14:paraId="4651084D">
      <w:pPr>
        <w:spacing w:line="580" w:lineRule="exact"/>
        <w:ind w:right="1280" w:rightChars="400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      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年7月</w:t>
      </w:r>
      <w:r>
        <w:rPr>
          <w:rFonts w:hint="eastAsia"/>
          <w:szCs w:val="32"/>
          <w:lang w:val="en-US" w:eastAsia="zh-CN"/>
        </w:rPr>
        <w:t>15</w:t>
      </w:r>
      <w:r>
        <w:rPr>
          <w:rFonts w:hint="eastAsia"/>
          <w:szCs w:val="32"/>
        </w:rPr>
        <w:t>日</w:t>
      </w:r>
    </w:p>
    <w:p w14:paraId="2DFDC823">
      <w:pPr>
        <w:spacing w:line="580" w:lineRule="exact"/>
        <w:jc w:val="left"/>
        <w:rPr>
          <w:rFonts w:hint="eastAsia" w:hAnsi="仿宋_GB2312" w:cs="仿宋_GB2312"/>
          <w:szCs w:val="32"/>
        </w:rPr>
      </w:pPr>
    </w:p>
    <w:p w14:paraId="6EB8D7CD">
      <w:pPr>
        <w:spacing w:before="101" w:line="227" w:lineRule="auto"/>
        <w:ind w:left="142"/>
        <w:rPr>
          <w:rFonts w:ascii="黑体" w:hAnsi="黑体" w:eastAsia="黑体" w:cs="黑体"/>
          <w:spacing w:val="-4"/>
          <w:sz w:val="31"/>
          <w:szCs w:val="31"/>
        </w:rPr>
      </w:pPr>
    </w:p>
    <w:p w14:paraId="0BBD66DB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br w:type="page"/>
      </w:r>
      <w:r>
        <w:rPr>
          <w:rFonts w:ascii="黑体" w:hAnsi="黑体" w:eastAsia="黑体" w:cs="黑体"/>
          <w:spacing w:val="-4"/>
          <w:szCs w:val="32"/>
        </w:rPr>
        <w:t>附件</w:t>
      </w:r>
      <w:r>
        <w:rPr>
          <w:rFonts w:ascii="黑体" w:hAnsi="黑体" w:eastAsia="黑体" w:cs="黑体"/>
          <w:spacing w:val="-43"/>
          <w:szCs w:val="32"/>
        </w:rPr>
        <w:t xml:space="preserve"> </w:t>
      </w:r>
      <w:r>
        <w:rPr>
          <w:rFonts w:ascii="黑体" w:hAnsi="黑体" w:eastAsia="黑体" w:cs="黑体"/>
          <w:spacing w:val="-4"/>
          <w:szCs w:val="32"/>
        </w:rPr>
        <w:t>1</w:t>
      </w:r>
    </w:p>
    <w:p w14:paraId="4E8B62D0">
      <w:pPr>
        <w:spacing w:before="185" w:line="215" w:lineRule="auto"/>
        <w:ind w:left="179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山东省社区教育课程资源分类表</w:t>
      </w:r>
    </w:p>
    <w:p w14:paraId="2AC4C25E">
      <w:pPr>
        <w:spacing w:before="166"/>
      </w:pPr>
    </w:p>
    <w:tbl>
      <w:tblPr>
        <w:tblStyle w:val="11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529"/>
        <w:gridCol w:w="1288"/>
        <w:gridCol w:w="3724"/>
        <w:gridCol w:w="1437"/>
      </w:tblGrid>
      <w:tr w14:paraId="24AA8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70" w:type="dxa"/>
            <w:vAlign w:val="top"/>
          </w:tcPr>
          <w:p w14:paraId="6A310577">
            <w:pPr>
              <w:spacing w:before="247" w:line="220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529" w:type="dxa"/>
            <w:vAlign w:val="top"/>
          </w:tcPr>
          <w:p w14:paraId="5D837238">
            <w:pPr>
              <w:spacing w:before="247" w:line="218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课程系列</w:t>
            </w:r>
          </w:p>
        </w:tc>
        <w:tc>
          <w:tcPr>
            <w:tcW w:w="1288" w:type="dxa"/>
            <w:vAlign w:val="top"/>
          </w:tcPr>
          <w:p w14:paraId="003E56FF">
            <w:pPr>
              <w:spacing w:before="247" w:line="218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核心类别</w:t>
            </w:r>
          </w:p>
        </w:tc>
        <w:tc>
          <w:tcPr>
            <w:tcW w:w="3724" w:type="dxa"/>
            <w:vAlign w:val="top"/>
          </w:tcPr>
          <w:p w14:paraId="5621F164">
            <w:pPr>
              <w:spacing w:before="247" w:line="218" w:lineRule="auto"/>
              <w:ind w:left="13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课程类别</w:t>
            </w:r>
          </w:p>
        </w:tc>
        <w:tc>
          <w:tcPr>
            <w:tcW w:w="1437" w:type="dxa"/>
            <w:vAlign w:val="top"/>
          </w:tcPr>
          <w:p w14:paraId="0F471BAC">
            <w:pPr>
              <w:spacing w:before="247" w:line="218" w:lineRule="auto"/>
              <w:ind w:left="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覆盖人群</w:t>
            </w:r>
          </w:p>
        </w:tc>
      </w:tr>
      <w:tr w14:paraId="19FA9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70" w:type="dxa"/>
            <w:vAlign w:val="center"/>
          </w:tcPr>
          <w:p w14:paraId="13E53D02">
            <w:pPr>
              <w:pStyle w:val="12"/>
              <w:spacing w:before="78" w:line="238" w:lineRule="auto"/>
              <w:jc w:val="center"/>
            </w:pPr>
            <w:r>
              <w:t>1</w:t>
            </w:r>
          </w:p>
        </w:tc>
        <w:tc>
          <w:tcPr>
            <w:tcW w:w="2529" w:type="dxa"/>
            <w:vAlign w:val="center"/>
          </w:tcPr>
          <w:p w14:paraId="7E5C0E51">
            <w:pPr>
              <w:pStyle w:val="12"/>
              <w:spacing w:before="78" w:line="217" w:lineRule="auto"/>
              <w:jc w:val="center"/>
            </w:pPr>
            <w:r>
              <w:rPr>
                <w:spacing w:val="-3"/>
              </w:rPr>
              <w:t>思政引领与公民素养</w:t>
            </w:r>
          </w:p>
        </w:tc>
        <w:tc>
          <w:tcPr>
            <w:tcW w:w="1288" w:type="dxa"/>
            <w:vAlign w:val="center"/>
          </w:tcPr>
          <w:p w14:paraId="2014ECEF">
            <w:pPr>
              <w:pStyle w:val="12"/>
              <w:spacing w:before="78" w:line="237" w:lineRule="auto"/>
              <w:jc w:val="center"/>
            </w:pPr>
            <w:r>
              <w:t>3</w:t>
            </w:r>
          </w:p>
        </w:tc>
        <w:tc>
          <w:tcPr>
            <w:tcW w:w="3724" w:type="dxa"/>
            <w:vAlign w:val="center"/>
          </w:tcPr>
          <w:p w14:paraId="2C29BAAA">
            <w:pPr>
              <w:pStyle w:val="12"/>
              <w:spacing w:before="244" w:line="335" w:lineRule="auto"/>
              <w:ind w:left="188" w:right="101" w:hanging="57"/>
              <w:jc w:val="left"/>
            </w:pPr>
            <w:r>
              <w:rPr>
                <w:spacing w:val="-15"/>
              </w:rPr>
              <w:t>思政教育与理论武装·法治素养与</w:t>
            </w:r>
            <w:r>
              <w:rPr>
                <w:spacing w:val="-9"/>
              </w:rPr>
              <w:t>公共治理·公民道德与社会责任</w:t>
            </w:r>
          </w:p>
        </w:tc>
        <w:tc>
          <w:tcPr>
            <w:tcW w:w="1437" w:type="dxa"/>
            <w:vAlign w:val="center"/>
          </w:tcPr>
          <w:p w14:paraId="7FEC4D71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全人群</w:t>
            </w:r>
          </w:p>
        </w:tc>
      </w:tr>
      <w:tr w14:paraId="48881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center"/>
          </w:tcPr>
          <w:p w14:paraId="08AFE39F">
            <w:pPr>
              <w:pStyle w:val="12"/>
              <w:spacing w:before="78" w:line="238" w:lineRule="auto"/>
              <w:jc w:val="center"/>
            </w:pPr>
            <w:r>
              <w:t>2</w:t>
            </w:r>
          </w:p>
        </w:tc>
        <w:tc>
          <w:tcPr>
            <w:tcW w:w="2529" w:type="dxa"/>
            <w:vAlign w:val="center"/>
          </w:tcPr>
          <w:p w14:paraId="525F3F71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文化传承与人文艺术</w:t>
            </w:r>
          </w:p>
        </w:tc>
        <w:tc>
          <w:tcPr>
            <w:tcW w:w="1288" w:type="dxa"/>
            <w:vAlign w:val="center"/>
          </w:tcPr>
          <w:p w14:paraId="0CAEEC6F">
            <w:pPr>
              <w:pStyle w:val="12"/>
              <w:spacing w:before="78" w:line="238" w:lineRule="auto"/>
              <w:jc w:val="center"/>
            </w:pPr>
            <w:r>
              <w:t>4</w:t>
            </w:r>
          </w:p>
        </w:tc>
        <w:tc>
          <w:tcPr>
            <w:tcW w:w="3724" w:type="dxa"/>
            <w:vAlign w:val="center"/>
          </w:tcPr>
          <w:p w14:paraId="11678F94">
            <w:pPr>
              <w:pStyle w:val="12"/>
              <w:spacing w:before="243" w:line="217" w:lineRule="auto"/>
              <w:ind w:left="143"/>
              <w:jc w:val="left"/>
            </w:pPr>
            <w:r>
              <w:rPr>
                <w:spacing w:val="-16"/>
              </w:rPr>
              <w:t>中华优秀传统文化·非物质文化遗</w:t>
            </w:r>
          </w:p>
          <w:p w14:paraId="5A547766">
            <w:pPr>
              <w:pStyle w:val="12"/>
              <w:spacing w:before="279" w:line="217" w:lineRule="auto"/>
              <w:ind w:left="115"/>
              <w:jc w:val="left"/>
            </w:pPr>
            <w:r>
              <w:rPr>
                <w:spacing w:val="-20"/>
              </w:rPr>
              <w:t>产传承 ·文学艺术修养·阅读推广</w:t>
            </w:r>
          </w:p>
          <w:p w14:paraId="4B03B724">
            <w:pPr>
              <w:pStyle w:val="12"/>
              <w:spacing w:before="277" w:line="219" w:lineRule="auto"/>
              <w:jc w:val="left"/>
            </w:pPr>
            <w:r>
              <w:rPr>
                <w:spacing w:val="-4"/>
              </w:rPr>
              <w:t>与书香社区</w:t>
            </w:r>
          </w:p>
        </w:tc>
        <w:tc>
          <w:tcPr>
            <w:tcW w:w="1437" w:type="dxa"/>
            <w:vAlign w:val="center"/>
          </w:tcPr>
          <w:p w14:paraId="3AFBF53C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全人群</w:t>
            </w:r>
          </w:p>
        </w:tc>
      </w:tr>
      <w:tr w14:paraId="5285C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center"/>
          </w:tcPr>
          <w:p w14:paraId="331BA259">
            <w:pPr>
              <w:pStyle w:val="12"/>
              <w:spacing w:before="78" w:line="237" w:lineRule="auto"/>
              <w:jc w:val="center"/>
            </w:pPr>
            <w:r>
              <w:t>3</w:t>
            </w:r>
          </w:p>
        </w:tc>
        <w:tc>
          <w:tcPr>
            <w:tcW w:w="2529" w:type="dxa"/>
            <w:vAlign w:val="center"/>
          </w:tcPr>
          <w:p w14:paraId="45EBAEF8">
            <w:pPr>
              <w:pStyle w:val="12"/>
              <w:spacing w:before="78" w:line="216" w:lineRule="auto"/>
              <w:jc w:val="center"/>
            </w:pPr>
            <w:r>
              <w:rPr>
                <w:spacing w:val="-1"/>
              </w:rPr>
              <w:t>健康生活与幸福人生</w:t>
            </w:r>
          </w:p>
        </w:tc>
        <w:tc>
          <w:tcPr>
            <w:tcW w:w="1288" w:type="dxa"/>
            <w:vAlign w:val="center"/>
          </w:tcPr>
          <w:p w14:paraId="3164CB45">
            <w:pPr>
              <w:pStyle w:val="12"/>
              <w:spacing w:before="78" w:line="238" w:lineRule="auto"/>
              <w:jc w:val="center"/>
            </w:pPr>
            <w:r>
              <w:t>4</w:t>
            </w:r>
          </w:p>
        </w:tc>
        <w:tc>
          <w:tcPr>
            <w:tcW w:w="3724" w:type="dxa"/>
            <w:vAlign w:val="center"/>
          </w:tcPr>
          <w:p w14:paraId="5F8865FD">
            <w:pPr>
              <w:pStyle w:val="12"/>
              <w:spacing w:before="244" w:line="217" w:lineRule="auto"/>
              <w:ind w:left="117"/>
              <w:jc w:val="left"/>
            </w:pPr>
            <w:r>
              <w:rPr>
                <w:spacing w:val="-13"/>
              </w:rPr>
              <w:t>养生保健与主动健康 ·心理健康与</w:t>
            </w:r>
          </w:p>
          <w:p w14:paraId="3F25DB96">
            <w:pPr>
              <w:pStyle w:val="12"/>
              <w:spacing w:before="280" w:line="216" w:lineRule="auto"/>
              <w:ind w:left="324"/>
              <w:jc w:val="left"/>
            </w:pPr>
            <w:r>
              <w:rPr>
                <w:spacing w:val="-11"/>
              </w:rPr>
              <w:t>生命关怀 ·安全防护与生活避</w:t>
            </w:r>
          </w:p>
          <w:p w14:paraId="4F5E1CC7">
            <w:pPr>
              <w:pStyle w:val="12"/>
              <w:spacing w:before="278" w:line="216" w:lineRule="auto"/>
              <w:ind w:left="568"/>
              <w:jc w:val="left"/>
            </w:pPr>
            <w:r>
              <w:rPr>
                <w:spacing w:val="-13"/>
              </w:rPr>
              <w:t>险 ·休闲生活与幸福体验</w:t>
            </w:r>
          </w:p>
        </w:tc>
        <w:tc>
          <w:tcPr>
            <w:tcW w:w="1437" w:type="dxa"/>
            <w:vAlign w:val="center"/>
          </w:tcPr>
          <w:p w14:paraId="09DADAFF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全人群</w:t>
            </w:r>
          </w:p>
        </w:tc>
      </w:tr>
      <w:tr w14:paraId="4B4BA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770" w:type="dxa"/>
            <w:vAlign w:val="center"/>
          </w:tcPr>
          <w:p w14:paraId="57B75F19">
            <w:pPr>
              <w:pStyle w:val="12"/>
              <w:spacing w:before="78" w:line="238" w:lineRule="auto"/>
              <w:jc w:val="center"/>
            </w:pPr>
            <w:r>
              <w:t>4</w:t>
            </w:r>
          </w:p>
        </w:tc>
        <w:tc>
          <w:tcPr>
            <w:tcW w:w="2529" w:type="dxa"/>
            <w:vAlign w:val="center"/>
          </w:tcPr>
          <w:p w14:paraId="5927E5F6">
            <w:pPr>
              <w:pStyle w:val="12"/>
              <w:spacing w:before="78" w:line="217" w:lineRule="auto"/>
              <w:jc w:val="center"/>
            </w:pPr>
            <w:r>
              <w:rPr>
                <w:spacing w:val="-2"/>
              </w:rPr>
              <w:t>职业技能与创业就业</w:t>
            </w:r>
          </w:p>
        </w:tc>
        <w:tc>
          <w:tcPr>
            <w:tcW w:w="1288" w:type="dxa"/>
            <w:vAlign w:val="center"/>
          </w:tcPr>
          <w:p w14:paraId="5D3BF4F4">
            <w:pPr>
              <w:pStyle w:val="12"/>
              <w:spacing w:before="78" w:line="237" w:lineRule="auto"/>
              <w:jc w:val="center"/>
            </w:pPr>
            <w:r>
              <w:t>5</w:t>
            </w:r>
          </w:p>
        </w:tc>
        <w:tc>
          <w:tcPr>
            <w:tcW w:w="3724" w:type="dxa"/>
            <w:vAlign w:val="center"/>
          </w:tcPr>
          <w:p w14:paraId="7BB88CD1">
            <w:pPr>
              <w:pStyle w:val="12"/>
              <w:spacing w:before="248" w:line="217" w:lineRule="auto"/>
              <w:ind w:left="125"/>
              <w:jc w:val="left"/>
            </w:pPr>
            <w:r>
              <w:rPr>
                <w:spacing w:val="-18"/>
              </w:rPr>
              <w:t>职业技能提升·创业就业指导·生</w:t>
            </w:r>
          </w:p>
          <w:p w14:paraId="0EC0ECEE">
            <w:pPr>
              <w:pStyle w:val="12"/>
              <w:spacing w:before="276" w:line="218" w:lineRule="auto"/>
              <w:ind w:left="202"/>
              <w:jc w:val="left"/>
            </w:pPr>
            <w:r>
              <w:rPr>
                <w:spacing w:val="-11"/>
              </w:rPr>
              <w:t>活实用技艺·</w:t>
            </w:r>
            <w:r>
              <w:rPr>
                <w:spacing w:val="-96"/>
              </w:rPr>
              <w:t xml:space="preserve"> </w:t>
            </w:r>
            <w:r>
              <w:rPr>
                <w:spacing w:val="-11"/>
              </w:rPr>
              <w:t>学历提升与继续教</w:t>
            </w:r>
          </w:p>
          <w:p w14:paraId="4D1EBE3E">
            <w:pPr>
              <w:pStyle w:val="12"/>
              <w:spacing w:before="276" w:line="217" w:lineRule="auto"/>
              <w:ind w:left="552"/>
              <w:jc w:val="left"/>
            </w:pPr>
            <w:r>
              <w:rPr>
                <w:spacing w:val="-11"/>
              </w:rPr>
              <w:t>育·农林技术与乡村振兴</w:t>
            </w:r>
          </w:p>
        </w:tc>
        <w:tc>
          <w:tcPr>
            <w:tcW w:w="1437" w:type="dxa"/>
            <w:vAlign w:val="center"/>
          </w:tcPr>
          <w:p w14:paraId="7A8C20F7">
            <w:pPr>
              <w:pStyle w:val="12"/>
              <w:spacing w:before="78" w:line="220" w:lineRule="auto"/>
              <w:jc w:val="center"/>
            </w:pPr>
            <w:r>
              <w:rPr>
                <w:spacing w:val="-3"/>
              </w:rPr>
              <w:t>成人为主</w:t>
            </w:r>
          </w:p>
        </w:tc>
      </w:tr>
      <w:tr w14:paraId="51572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center"/>
          </w:tcPr>
          <w:p w14:paraId="5DD37107">
            <w:pPr>
              <w:pStyle w:val="12"/>
              <w:spacing w:before="78" w:line="237" w:lineRule="auto"/>
              <w:jc w:val="center"/>
            </w:pPr>
            <w:r>
              <w:t>5</w:t>
            </w:r>
          </w:p>
        </w:tc>
        <w:tc>
          <w:tcPr>
            <w:tcW w:w="2529" w:type="dxa"/>
            <w:vAlign w:val="center"/>
          </w:tcPr>
          <w:p w14:paraId="78D20A42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家庭教育与代际共学</w:t>
            </w:r>
          </w:p>
        </w:tc>
        <w:tc>
          <w:tcPr>
            <w:tcW w:w="1288" w:type="dxa"/>
            <w:vAlign w:val="center"/>
          </w:tcPr>
          <w:p w14:paraId="66AA611A">
            <w:pPr>
              <w:pStyle w:val="12"/>
              <w:spacing w:before="78" w:line="238" w:lineRule="auto"/>
              <w:jc w:val="center"/>
            </w:pPr>
            <w:r>
              <w:t>4</w:t>
            </w:r>
          </w:p>
        </w:tc>
        <w:tc>
          <w:tcPr>
            <w:tcW w:w="3724" w:type="dxa"/>
            <w:vAlign w:val="center"/>
          </w:tcPr>
          <w:p w14:paraId="7921C55E">
            <w:pPr>
              <w:pStyle w:val="12"/>
              <w:spacing w:before="247" w:line="218" w:lineRule="auto"/>
              <w:ind w:left="114"/>
              <w:jc w:val="left"/>
            </w:pPr>
            <w:r>
              <w:rPr>
                <w:spacing w:val="-13"/>
              </w:rPr>
              <w:t>科学育儿与早期发展·亲子关系与</w:t>
            </w:r>
          </w:p>
          <w:p w14:paraId="65E8D269">
            <w:pPr>
              <w:pStyle w:val="12"/>
              <w:spacing w:before="275" w:line="217" w:lineRule="auto"/>
              <w:ind w:left="120"/>
              <w:jc w:val="left"/>
            </w:pPr>
            <w:r>
              <w:rPr>
                <w:spacing w:val="-15"/>
              </w:rPr>
              <w:t>家校社协同·青少年素养与成长发</w:t>
            </w:r>
          </w:p>
          <w:p w14:paraId="1923303D">
            <w:pPr>
              <w:pStyle w:val="12"/>
              <w:spacing w:before="277" w:line="219" w:lineRule="auto"/>
              <w:ind w:left="550"/>
              <w:jc w:val="left"/>
            </w:pPr>
            <w:r>
              <w:rPr>
                <w:spacing w:val="-11"/>
              </w:rPr>
              <w:t>展·家风家教与代际沟通</w:t>
            </w:r>
          </w:p>
        </w:tc>
        <w:tc>
          <w:tcPr>
            <w:tcW w:w="1437" w:type="dxa"/>
            <w:vAlign w:val="center"/>
          </w:tcPr>
          <w:p w14:paraId="26B4B93C">
            <w:pPr>
              <w:pStyle w:val="12"/>
              <w:spacing w:before="78" w:line="219" w:lineRule="auto"/>
              <w:jc w:val="center"/>
            </w:pPr>
            <w:r>
              <w:rPr>
                <w:spacing w:val="-3"/>
              </w:rPr>
              <w:t>家庭为主</w:t>
            </w:r>
          </w:p>
        </w:tc>
      </w:tr>
      <w:tr w14:paraId="53A7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70" w:type="dxa"/>
            <w:vAlign w:val="center"/>
          </w:tcPr>
          <w:p w14:paraId="2153DD85">
            <w:pPr>
              <w:pStyle w:val="12"/>
              <w:spacing w:before="78" w:line="237" w:lineRule="auto"/>
              <w:jc w:val="center"/>
            </w:pPr>
            <w:r>
              <w:t>6</w:t>
            </w:r>
          </w:p>
        </w:tc>
        <w:tc>
          <w:tcPr>
            <w:tcW w:w="2529" w:type="dxa"/>
            <w:vAlign w:val="center"/>
          </w:tcPr>
          <w:p w14:paraId="2A946B15">
            <w:pPr>
              <w:pStyle w:val="12"/>
              <w:spacing w:before="78" w:line="217" w:lineRule="auto"/>
              <w:jc w:val="center"/>
            </w:pPr>
            <w:r>
              <w:rPr>
                <w:spacing w:val="-2"/>
              </w:rPr>
              <w:t>数字素养与科技创新</w:t>
            </w:r>
          </w:p>
        </w:tc>
        <w:tc>
          <w:tcPr>
            <w:tcW w:w="1288" w:type="dxa"/>
            <w:vAlign w:val="center"/>
          </w:tcPr>
          <w:p w14:paraId="7DD73705">
            <w:pPr>
              <w:pStyle w:val="12"/>
              <w:spacing w:before="78" w:line="238" w:lineRule="auto"/>
              <w:jc w:val="center"/>
            </w:pPr>
            <w:r>
              <w:t>4</w:t>
            </w:r>
          </w:p>
        </w:tc>
        <w:tc>
          <w:tcPr>
            <w:tcW w:w="3724" w:type="dxa"/>
            <w:vAlign w:val="center"/>
          </w:tcPr>
          <w:p w14:paraId="5C41BC9E">
            <w:pPr>
              <w:pStyle w:val="12"/>
              <w:spacing w:before="247" w:line="367" w:lineRule="auto"/>
              <w:ind w:left="310" w:right="101" w:hanging="189"/>
              <w:jc w:val="left"/>
            </w:pPr>
            <w:r>
              <w:rPr>
                <w:spacing w:val="-15"/>
              </w:rPr>
              <w:t>数字基础与智能应用·数字技能与</w:t>
            </w:r>
            <w:r>
              <w:rPr>
                <w:spacing w:val="-10"/>
              </w:rPr>
              <w:t>人工智能·科学素养与创新思</w:t>
            </w:r>
            <w:r>
              <w:rPr>
                <w:spacing w:val="-3"/>
              </w:rPr>
              <w:t>维·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互联网学习与信息素养</w:t>
            </w:r>
          </w:p>
        </w:tc>
        <w:tc>
          <w:tcPr>
            <w:tcW w:w="1437" w:type="dxa"/>
            <w:vAlign w:val="center"/>
          </w:tcPr>
          <w:p w14:paraId="00B918B4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全人群</w:t>
            </w:r>
          </w:p>
        </w:tc>
      </w:tr>
    </w:tbl>
    <w:p w14:paraId="79FDBB86">
      <w:pPr>
        <w:rPr>
          <w:rFonts w:ascii="黑体" w:hAnsi="黑体" w:eastAsia="黑体" w:cs="黑体"/>
          <w:spacing w:val="-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3"/>
          <w:szCs w:val="43"/>
        </w:rPr>
        <w:br w:type="page"/>
      </w:r>
      <w:r>
        <w:rPr>
          <w:rFonts w:ascii="黑体" w:hAnsi="黑体" w:eastAsia="黑体" w:cs="黑体"/>
          <w:spacing w:val="-4"/>
          <w:szCs w:val="32"/>
        </w:rPr>
        <w:t>附件2</w:t>
      </w:r>
    </w:p>
    <w:p w14:paraId="3FE0E2E5">
      <w:pPr>
        <w:spacing w:before="242" w:line="23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山东省社区教育优秀课程资源遴选标准</w:t>
      </w:r>
    </w:p>
    <w:tbl>
      <w:tblPr>
        <w:tblStyle w:val="11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744"/>
        <w:gridCol w:w="5595"/>
      </w:tblGrid>
      <w:tr w14:paraId="2EDA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5" w:type="dxa"/>
            <w:vAlign w:val="top"/>
          </w:tcPr>
          <w:p w14:paraId="378ED1F1">
            <w:pPr>
              <w:spacing w:before="242" w:line="218" w:lineRule="auto"/>
              <w:ind w:left="2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一级指标</w:t>
            </w:r>
          </w:p>
        </w:tc>
        <w:tc>
          <w:tcPr>
            <w:tcW w:w="1744" w:type="dxa"/>
            <w:vAlign w:val="top"/>
          </w:tcPr>
          <w:p w14:paraId="4176BA06">
            <w:pPr>
              <w:spacing w:before="242" w:line="218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二级指标</w:t>
            </w:r>
          </w:p>
        </w:tc>
        <w:tc>
          <w:tcPr>
            <w:tcW w:w="5595" w:type="dxa"/>
            <w:vAlign w:val="top"/>
          </w:tcPr>
          <w:p w14:paraId="73DDAEB7">
            <w:pPr>
              <w:spacing w:before="242" w:line="220" w:lineRule="auto"/>
              <w:ind w:left="2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指标释义</w:t>
            </w:r>
          </w:p>
        </w:tc>
      </w:tr>
      <w:tr w14:paraId="0DFDA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restart"/>
            <w:tcBorders>
              <w:bottom w:val="nil"/>
            </w:tcBorders>
            <w:vAlign w:val="center"/>
          </w:tcPr>
          <w:p w14:paraId="5E18621F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教学内容</w:t>
            </w:r>
          </w:p>
        </w:tc>
        <w:tc>
          <w:tcPr>
            <w:tcW w:w="1744" w:type="dxa"/>
            <w:vAlign w:val="center"/>
          </w:tcPr>
          <w:p w14:paraId="2A94484E">
            <w:pPr>
              <w:pStyle w:val="12"/>
              <w:tabs>
                <w:tab w:val="left" w:pos="418"/>
              </w:tabs>
              <w:spacing w:before="78" w:line="218" w:lineRule="auto"/>
              <w:jc w:val="center"/>
            </w:pPr>
            <w:r>
              <w:rPr>
                <w:b/>
                <w:bCs/>
                <w:spacing w:val="-13"/>
              </w:rPr>
              <w:t>内容恰当</w:t>
            </w:r>
          </w:p>
        </w:tc>
        <w:tc>
          <w:tcPr>
            <w:tcW w:w="5595" w:type="dxa"/>
            <w:vAlign w:val="top"/>
          </w:tcPr>
          <w:p w14:paraId="6A989B07">
            <w:pPr>
              <w:pStyle w:val="12"/>
              <w:spacing w:before="241" w:line="382" w:lineRule="auto"/>
              <w:ind w:left="13"/>
              <w:jc w:val="both"/>
            </w:pPr>
            <w:r>
              <w:rPr>
                <w:spacing w:val="-4"/>
              </w:rPr>
              <w:t>参评课程资源应符合社区教育的基本规律和特点，无</w:t>
            </w:r>
            <w:r>
              <w:rPr>
                <w:spacing w:val="-8"/>
              </w:rPr>
              <w:t>影响意识形态安全相关问题，无科学性、知识性错误，</w:t>
            </w:r>
            <w:r>
              <w:rPr>
                <w:spacing w:val="-4"/>
              </w:rPr>
              <w:t>凸显社会主义核心价值观，符合公序良俗；内容设置</w:t>
            </w:r>
            <w:r>
              <w:rPr>
                <w:spacing w:val="-16"/>
              </w:rPr>
              <w:t>得当。</w:t>
            </w:r>
          </w:p>
        </w:tc>
      </w:tr>
      <w:tr w14:paraId="11D3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continue"/>
            <w:tcBorders>
              <w:top w:val="nil"/>
            </w:tcBorders>
            <w:vAlign w:val="center"/>
          </w:tcPr>
          <w:p w14:paraId="1F189F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center"/>
          </w:tcPr>
          <w:p w14:paraId="46E432FA">
            <w:pPr>
              <w:pStyle w:val="12"/>
              <w:spacing w:before="78" w:line="219" w:lineRule="auto"/>
              <w:jc w:val="center"/>
            </w:pPr>
            <w:r>
              <w:rPr>
                <w:b/>
                <w:bCs/>
                <w:spacing w:val="-6"/>
              </w:rPr>
              <w:t>正确归类</w:t>
            </w:r>
          </w:p>
        </w:tc>
        <w:tc>
          <w:tcPr>
            <w:tcW w:w="5595" w:type="dxa"/>
            <w:vAlign w:val="top"/>
          </w:tcPr>
          <w:p w14:paraId="580E9C18">
            <w:pPr>
              <w:pStyle w:val="12"/>
              <w:spacing w:before="241" w:line="382" w:lineRule="auto"/>
              <w:ind w:left="3" w:right="69" w:firstLine="5"/>
              <w:jc w:val="both"/>
            </w:pPr>
            <w:r>
              <w:rPr>
                <w:spacing w:val="-1"/>
              </w:rPr>
              <w:t>课程内容能正确归类，适配思政引领与公民素养、文化传承与人文艺术、健康生活与幸福人生、职业技能与创业就业、家庭教育与代际共学、数字素养与科技</w:t>
            </w:r>
            <w:r>
              <w:rPr>
                <w:spacing w:val="-4"/>
              </w:rPr>
              <w:t>创新等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大系列；评审采用分类评审。</w:t>
            </w:r>
          </w:p>
        </w:tc>
      </w:tr>
      <w:tr w14:paraId="2987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525" w:type="dxa"/>
            <w:vMerge w:val="restart"/>
            <w:tcBorders>
              <w:bottom w:val="nil"/>
            </w:tcBorders>
            <w:vAlign w:val="center"/>
          </w:tcPr>
          <w:p w14:paraId="24087753">
            <w:pPr>
              <w:pStyle w:val="12"/>
              <w:spacing w:before="78" w:line="218" w:lineRule="auto"/>
              <w:jc w:val="center"/>
            </w:pPr>
            <w:r>
              <w:rPr>
                <w:spacing w:val="-2"/>
              </w:rPr>
              <w:t>教学设计</w:t>
            </w:r>
          </w:p>
        </w:tc>
        <w:tc>
          <w:tcPr>
            <w:tcW w:w="1744" w:type="dxa"/>
            <w:vAlign w:val="center"/>
          </w:tcPr>
          <w:p w14:paraId="62C3503F">
            <w:pPr>
              <w:pStyle w:val="12"/>
              <w:spacing w:before="78" w:line="218" w:lineRule="auto"/>
              <w:jc w:val="center"/>
            </w:pPr>
            <w:r>
              <w:rPr>
                <w:b/>
                <w:bCs/>
                <w:spacing w:val="-5"/>
              </w:rPr>
              <w:t>选题恰当</w:t>
            </w:r>
          </w:p>
        </w:tc>
        <w:tc>
          <w:tcPr>
            <w:tcW w:w="5595" w:type="dxa"/>
            <w:vAlign w:val="top"/>
          </w:tcPr>
          <w:p w14:paraId="17FCD251">
            <w:pPr>
              <w:pStyle w:val="12"/>
              <w:spacing w:before="241" w:line="366" w:lineRule="auto"/>
              <w:ind w:left="7" w:right="68" w:firstLine="12"/>
              <w:jc w:val="both"/>
            </w:pPr>
            <w:r>
              <w:rPr>
                <w:spacing w:val="-1"/>
              </w:rPr>
              <w:t>资源选题应符合国家法律法规及版权要求，切合居民学习需求，应集中表现某个专题或某个知识点，小而</w:t>
            </w:r>
            <w:r>
              <w:rPr>
                <w:spacing w:val="-15"/>
              </w:rPr>
              <w:t>精。</w:t>
            </w:r>
          </w:p>
        </w:tc>
      </w:tr>
      <w:tr w14:paraId="794A4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center"/>
          </w:tcPr>
          <w:p w14:paraId="6AC73C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center"/>
          </w:tcPr>
          <w:p w14:paraId="58164C0A">
            <w:pPr>
              <w:pStyle w:val="12"/>
              <w:spacing w:before="78" w:line="218" w:lineRule="auto"/>
              <w:jc w:val="center"/>
            </w:pPr>
            <w:r>
              <w:rPr>
                <w:b/>
                <w:bCs/>
                <w:spacing w:val="-4"/>
              </w:rPr>
              <w:t>设计合理</w:t>
            </w:r>
          </w:p>
        </w:tc>
        <w:tc>
          <w:tcPr>
            <w:tcW w:w="5595" w:type="dxa"/>
            <w:vAlign w:val="top"/>
          </w:tcPr>
          <w:p w14:paraId="7C2294EE">
            <w:pPr>
              <w:pStyle w:val="12"/>
              <w:spacing w:before="251" w:line="332" w:lineRule="auto"/>
              <w:ind w:left="24" w:right="114" w:firstLine="5"/>
            </w:pPr>
            <w:r>
              <w:rPr>
                <w:spacing w:val="-4"/>
              </w:rPr>
              <w:t>围绕教学或学习目标进行科学设计，且能解决生产、</w:t>
            </w:r>
            <w:r>
              <w:rPr>
                <w:spacing w:val="-3"/>
              </w:rPr>
              <w:t>生活或教学、学习过程中的重点、难点、疑难</w:t>
            </w:r>
            <w:r>
              <w:rPr>
                <w:spacing w:val="-4"/>
              </w:rPr>
              <w:t>问题。</w:t>
            </w:r>
          </w:p>
        </w:tc>
      </w:tr>
      <w:tr w14:paraId="6A0E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center"/>
          </w:tcPr>
          <w:p w14:paraId="17118E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center"/>
          </w:tcPr>
          <w:p w14:paraId="4DFA73DA">
            <w:pPr>
              <w:pStyle w:val="12"/>
              <w:spacing w:before="78" w:line="219" w:lineRule="auto"/>
              <w:jc w:val="center"/>
            </w:pPr>
            <w:r>
              <w:rPr>
                <w:b/>
                <w:bCs/>
                <w:spacing w:val="-6"/>
              </w:rPr>
              <w:t>结构完整</w:t>
            </w:r>
          </w:p>
        </w:tc>
        <w:tc>
          <w:tcPr>
            <w:tcW w:w="5595" w:type="dxa"/>
            <w:vAlign w:val="top"/>
          </w:tcPr>
          <w:p w14:paraId="3AA60FDE">
            <w:pPr>
              <w:pStyle w:val="12"/>
              <w:spacing w:before="249" w:line="333" w:lineRule="auto"/>
              <w:ind w:left="11" w:right="69" w:hanging="2"/>
            </w:pPr>
            <w:r>
              <w:rPr>
                <w:spacing w:val="-1"/>
              </w:rPr>
              <w:t>遵循课程目标、课程内容、课程实施、课程评价等课</w:t>
            </w:r>
            <w:r>
              <w:rPr>
                <w:spacing w:val="-3"/>
              </w:rPr>
              <w:t>程建设的一般规律。教学环节和教学过程完整。</w:t>
            </w:r>
          </w:p>
        </w:tc>
      </w:tr>
      <w:tr w14:paraId="24C0C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25" w:type="dxa"/>
            <w:vMerge w:val="continue"/>
            <w:tcBorders>
              <w:top w:val="nil"/>
            </w:tcBorders>
            <w:vAlign w:val="center"/>
          </w:tcPr>
          <w:p w14:paraId="77BD85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center"/>
          </w:tcPr>
          <w:p w14:paraId="10F7167E">
            <w:pPr>
              <w:pStyle w:val="12"/>
              <w:spacing w:before="78" w:line="219" w:lineRule="auto"/>
              <w:jc w:val="center"/>
            </w:pPr>
            <w:r>
              <w:rPr>
                <w:b/>
                <w:bCs/>
                <w:spacing w:val="-4"/>
              </w:rPr>
              <w:t>教法巧妙</w:t>
            </w:r>
          </w:p>
        </w:tc>
        <w:tc>
          <w:tcPr>
            <w:tcW w:w="5595" w:type="dxa"/>
            <w:vAlign w:val="top"/>
          </w:tcPr>
          <w:p w14:paraId="30C22511">
            <w:pPr>
              <w:pStyle w:val="12"/>
              <w:spacing w:before="251" w:line="335" w:lineRule="auto"/>
              <w:ind w:left="39" w:right="69" w:hanging="30"/>
            </w:pPr>
            <w:r>
              <w:rPr>
                <w:spacing w:val="-1"/>
              </w:rPr>
              <w:t>教学理念先进，教学方法富有创意，教学表达深入浅</w:t>
            </w:r>
            <w:r>
              <w:rPr>
                <w:spacing w:val="-6"/>
              </w:rPr>
              <w:t>出，形象生动，启发性、感染力强。</w:t>
            </w:r>
          </w:p>
        </w:tc>
      </w:tr>
    </w:tbl>
    <w:p w14:paraId="5C1FB2E4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6E26AB82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5170FD19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77509A51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58ED86FA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2B09880B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1CA8F3D8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2F56ADB9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00341B3E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159D98A9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06AE9793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2F43E772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37E6663C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3E565F2C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749652D5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6EFEAE59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2C6BA9D6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75E49C5F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7007A01E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122FDCD4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3CFEBF5C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5BFE6F3E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3B45858E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</w:p>
    <w:p w14:paraId="2BFC3B74">
      <w:pPr>
        <w:snapToGrid w:val="0"/>
        <w:spacing w:line="30" w:lineRule="atLeast"/>
        <w:rPr>
          <w:rFonts w:hint="eastAsia" w:ascii="黑体" w:hAnsi="黑体" w:eastAsia="黑体" w:cs="黑体"/>
          <w:spacing w:val="-4"/>
          <w:szCs w:val="32"/>
        </w:rPr>
      </w:pPr>
      <w:r>
        <w:rPr>
          <w:rFonts w:hint="eastAsia" w:ascii="黑体" w:hAnsi="黑体" w:eastAsia="黑体" w:cs="黑体"/>
          <w:spacing w:val="-4"/>
          <w:szCs w:val="32"/>
        </w:rPr>
        <w:t>附件4</w:t>
      </w:r>
    </w:p>
    <w:p w14:paraId="0223E306">
      <w:pPr>
        <w:spacing w:before="154" w:line="197" w:lineRule="auto"/>
        <w:jc w:val="center"/>
        <w:rPr>
          <w:rFonts w:hint="eastAsia"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</w:rPr>
        <w:t>山东省社区教育优秀课程资源遴选申报表</w:t>
      </w:r>
    </w:p>
    <w:tbl>
      <w:tblPr>
        <w:tblStyle w:val="5"/>
        <w:tblpPr w:leftFromText="180" w:rightFromText="180" w:vertAnchor="text" w:tblpXSpec="center" w:tblpY="1"/>
        <w:tblOverlap w:val="never"/>
        <w:tblW w:w="9511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627"/>
        <w:gridCol w:w="2049"/>
        <w:gridCol w:w="2617"/>
      </w:tblGrid>
      <w:tr w14:paraId="0C12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387688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课程资源名称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20671CC2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4ED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695F5E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课程资源系列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3D3FF42D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DA138C9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课程资源类别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EC114F9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33E7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0A7DC2E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团队负责人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0CCAE80C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308113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联系电话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AC33EC6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23CCA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FF6880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团队成员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F233FF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089C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1F00A77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3B7B83E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51CD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259B53C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作者承诺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AE3FECF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课程资源不存在任何知识产权问题，无影响意识形态安全相关问题，且符合国家法律法规及出版规定。</w:t>
            </w:r>
          </w:p>
          <w:p w14:paraId="5080F6F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06936E11">
            <w:pPr>
              <w:spacing w:line="440" w:lineRule="exact"/>
              <w:ind w:firstLine="1920" w:firstLineChars="8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课程负责人（签字）：</w:t>
            </w:r>
          </w:p>
          <w:p w14:paraId="4E25EBB8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98986D5">
            <w:pPr>
              <w:spacing w:line="440" w:lineRule="exact"/>
              <w:ind w:firstLine="3600" w:firstLineChars="15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年     月    日</w:t>
            </w:r>
          </w:p>
        </w:tc>
      </w:tr>
      <w:tr w14:paraId="0017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663ED124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  <w:lang w:val="en-US" w:eastAsia="zh-CN"/>
              </w:rPr>
              <w:t>报送</w:t>
            </w:r>
            <w:r>
              <w:rPr>
                <w:rFonts w:hint="eastAsia" w:hAnsi="仿宋_GB2312" w:cs="仿宋_GB2312"/>
                <w:sz w:val="24"/>
              </w:rPr>
              <w:t>单位意见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553E4102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已对课程有关信息和资源内容进行审核，未发现影响意识形态安全相关问题，符合申报要求，同意申报。</w:t>
            </w:r>
          </w:p>
          <w:p w14:paraId="2AC7DD0E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453B955F">
            <w:pPr>
              <w:spacing w:line="440" w:lineRule="exact"/>
              <w:ind w:firstLine="2160" w:firstLineChars="9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单位负责人（签字）：</w:t>
            </w:r>
          </w:p>
          <w:p w14:paraId="57BB0EAA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31FFCA6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0A70CF7">
            <w:pPr>
              <w:spacing w:line="440" w:lineRule="exact"/>
              <w:jc w:val="righ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（单位公章）       </w:t>
            </w:r>
          </w:p>
          <w:p w14:paraId="07285B9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     年    月    日</w:t>
            </w:r>
          </w:p>
        </w:tc>
      </w:tr>
    </w:tbl>
    <w:p w14:paraId="78128EFC">
      <w:pPr>
        <w:pStyle w:val="2"/>
        <w:spacing w:before="127"/>
        <w:ind w:left="1321" w:right="246" w:hanging="967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 w:val="0"/>
          <w:color w:val="000000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1.“课程资源系列”和“课程资源类别”按附件1分类规范填写。</w:t>
      </w:r>
    </w:p>
    <w:p w14:paraId="6589954D">
      <w:pPr>
        <w:pStyle w:val="2"/>
        <w:spacing w:before="127"/>
        <w:ind w:right="246" w:firstLine="1080" w:firstLineChars="450"/>
        <w:rPr>
          <w:rFonts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2.该表签字盖章后，以PDF格式在网站指定位置提交。</w:t>
      </w:r>
    </w:p>
    <w:p w14:paraId="42D84D7B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br w:type="page"/>
      </w:r>
      <w:r>
        <w:rPr>
          <w:rFonts w:hint="eastAsia" w:ascii="黑体" w:hAnsi="黑体" w:eastAsia="黑体" w:cs="黑体"/>
          <w:spacing w:val="-4"/>
          <w:szCs w:val="32"/>
        </w:rPr>
        <w:t>附件5</w:t>
      </w:r>
    </w:p>
    <w:p w14:paraId="4AD1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pacing w:val="8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sz w:val="43"/>
          <w:szCs w:val="43"/>
        </w:rPr>
        <w:t>年度社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</w:rPr>
        <w:t>区教育优秀课程资源</w:t>
      </w:r>
    </w:p>
    <w:p w14:paraId="1653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pacing w:val="8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</w:rPr>
        <w:t>意识形态审核情况说明</w:t>
      </w:r>
    </w:p>
    <w:p w14:paraId="39176BB7">
      <w:pPr>
        <w:widowControl/>
        <w:jc w:val="left"/>
      </w:pPr>
    </w:p>
    <w:p w14:paraId="6686BB92">
      <w:pPr>
        <w:widowControl/>
        <w:spacing w:line="580" w:lineRule="exact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val="en-US" w:eastAsia="zh-CN" w:bidi="ar"/>
        </w:rPr>
        <w:t>教务处</w:t>
      </w:r>
      <w:r>
        <w:rPr>
          <w:rFonts w:hint="eastAsia" w:hAnsi="宋体" w:cs="仿宋_GB2312"/>
          <w:color w:val="000000"/>
          <w:kern w:val="0"/>
          <w:szCs w:val="32"/>
          <w:lang w:bidi="ar"/>
        </w:rPr>
        <w:t>：</w:t>
      </w:r>
    </w:p>
    <w:p w14:paraId="4AD158BE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XXX（申报单位全称）对《山东省社区教育优秀课程资源遴选申报汇总表》中的全部课程开展了意识形态专项审核工作。</w:t>
      </w:r>
    </w:p>
    <w:p w14:paraId="31263332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经审核，</w:t>
      </w:r>
      <w:r>
        <w:rPr>
          <w:rFonts w:hint="eastAsia" w:hAnsi="宋体" w:cs="仿宋_GB2312"/>
          <w:color w:val="000000"/>
          <w:kern w:val="0"/>
          <w:sz w:val="31"/>
          <w:szCs w:val="31"/>
          <w:lang w:bidi="ar"/>
        </w:rPr>
        <w:t>无</w:t>
      </w:r>
      <w:r>
        <w:rPr>
          <w:rFonts w:hAnsi="宋体" w:cs="仿宋_GB2312"/>
          <w:color w:val="000000"/>
          <w:kern w:val="0"/>
          <w:sz w:val="31"/>
          <w:szCs w:val="31"/>
          <w:lang w:bidi="ar"/>
        </w:rPr>
        <w:t>意识形态问题</w:t>
      </w:r>
      <w:r>
        <w:rPr>
          <w:rFonts w:hint="eastAsia" w:hAnsi="宋体" w:cs="仿宋_GB2312"/>
          <w:color w:val="000000"/>
          <w:kern w:val="0"/>
          <w:szCs w:val="32"/>
          <w:lang w:bidi="ar"/>
        </w:rPr>
        <w:t>，符合申报要求。</w:t>
      </w:r>
    </w:p>
    <w:p w14:paraId="7CF68E3F">
      <w:pPr>
        <w:widowControl/>
        <w:jc w:val="left"/>
        <w:rPr>
          <w:rFonts w:ascii="黑体" w:hAnsi="宋体" w:eastAsia="黑体" w:cs="黑体"/>
          <w:color w:val="000000"/>
          <w:kern w:val="0"/>
          <w:sz w:val="22"/>
          <w:szCs w:val="22"/>
          <w:lang w:bidi="ar"/>
        </w:rPr>
      </w:pPr>
    </w:p>
    <w:p w14:paraId="05B497E5">
      <w:pPr>
        <w:widowControl/>
        <w:jc w:val="center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课程列表（可附页）</w:t>
      </w:r>
    </w:p>
    <w:tbl>
      <w:tblPr>
        <w:tblStyle w:val="5"/>
        <w:tblW w:w="9038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357"/>
        <w:gridCol w:w="2160"/>
        <w:gridCol w:w="2599"/>
      </w:tblGrid>
      <w:tr w14:paraId="2593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2" w:type="dxa"/>
            <w:shd w:val="clear" w:color="auto" w:fill="auto"/>
            <w:noWrap w:val="0"/>
            <w:vAlign w:val="center"/>
          </w:tcPr>
          <w:p w14:paraId="43C29D0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序号</w:t>
            </w:r>
          </w:p>
        </w:tc>
        <w:tc>
          <w:tcPr>
            <w:tcW w:w="3357" w:type="dxa"/>
            <w:shd w:val="clear" w:color="auto" w:fill="auto"/>
            <w:noWrap w:val="0"/>
            <w:vAlign w:val="center"/>
          </w:tcPr>
          <w:p w14:paraId="3576DCA7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课程名称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4943C94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申报单位</w:t>
            </w:r>
          </w:p>
        </w:tc>
        <w:tc>
          <w:tcPr>
            <w:tcW w:w="2599" w:type="dxa"/>
            <w:shd w:val="clear" w:color="auto" w:fill="auto"/>
            <w:noWrap w:val="0"/>
            <w:vAlign w:val="center"/>
          </w:tcPr>
          <w:p w14:paraId="3D06985C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审核结果</w:t>
            </w:r>
          </w:p>
        </w:tc>
      </w:tr>
      <w:tr w14:paraId="70FE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0B03DB37">
            <w:pPr>
              <w:widowControl/>
              <w:jc w:val="center"/>
              <w:rPr>
                <w:rFonts w:hAnsi="等线"/>
              </w:rPr>
            </w:pPr>
            <w:r>
              <w:rPr>
                <w:rFonts w:ascii="Times New Roman" w:eastAsia="宋体"/>
                <w:color w:val="000000"/>
                <w:kern w:val="0"/>
                <w:sz w:val="31"/>
                <w:szCs w:val="31"/>
                <w:lang w:bidi="ar"/>
              </w:rPr>
              <w:t>1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408245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2F278E55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64F9C02B">
            <w:pPr>
              <w:widowControl/>
              <w:jc w:val="left"/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637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792E26A7">
            <w:pPr>
              <w:widowControl/>
              <w:jc w:val="center"/>
              <w:rPr>
                <w:rFonts w:hint="eastAsia" w:hAnsi="等线" w:eastAsia="宋体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31"/>
                <w:szCs w:val="31"/>
                <w:lang w:bidi="ar"/>
              </w:rPr>
              <w:t>2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D411B6B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63DDF650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1B0EA935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7D3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572F50A3">
            <w:pPr>
              <w:widowControl/>
              <w:jc w:val="center"/>
              <w:rPr>
                <w:rFonts w:hAnsi="等线"/>
              </w:rPr>
            </w:pP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……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2E8F0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4EE8BCE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47424A32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</w:tbl>
    <w:p w14:paraId="2B14ABDE">
      <w:pPr>
        <w:widowControl/>
        <w:jc w:val="right"/>
        <w:rPr>
          <w:rFonts w:ascii="Times New Roman" w:eastAsia="宋体"/>
          <w:color w:val="000000"/>
          <w:kern w:val="0"/>
          <w:sz w:val="31"/>
          <w:szCs w:val="31"/>
          <w:lang w:bidi="ar"/>
        </w:rPr>
      </w:pPr>
    </w:p>
    <w:p w14:paraId="6A5826F8">
      <w:pPr>
        <w:widowControl/>
        <w:spacing w:line="580" w:lineRule="exact"/>
        <w:jc w:val="right"/>
        <w:rPr>
          <w:rFonts w:hint="eastAsia"/>
        </w:rPr>
      </w:pPr>
      <w:r>
        <w:rPr>
          <w:rFonts w:hint="eastAsia"/>
          <w:color w:val="000000"/>
          <w:kern w:val="0"/>
          <w:szCs w:val="31"/>
          <w:lang w:bidi="ar"/>
        </w:rPr>
        <w:t>XXXXXX（单位盖章）</w:t>
      </w:r>
    </w:p>
    <w:p w14:paraId="3501CECC">
      <w:pPr>
        <w:spacing w:before="100" w:line="580" w:lineRule="exact"/>
        <w:ind w:left="17"/>
        <w:jc w:val="right"/>
        <w:rPr>
          <w:rFonts w:hint="eastAsia"/>
          <w:spacing w:val="-4"/>
          <w:szCs w:val="31"/>
        </w:rPr>
      </w:pPr>
      <w:r>
        <w:rPr>
          <w:rFonts w:hint="eastAsia"/>
          <w:color w:val="000000"/>
          <w:kern w:val="0"/>
          <w:szCs w:val="31"/>
          <w:lang w:bidi="ar"/>
        </w:rPr>
        <w:t>202</w:t>
      </w:r>
      <w:r>
        <w:rPr>
          <w:rFonts w:hint="eastAsia"/>
          <w:color w:val="000000"/>
          <w:kern w:val="0"/>
          <w:szCs w:val="31"/>
          <w:lang w:val="en-US" w:eastAsia="zh-CN" w:bidi="ar"/>
        </w:rPr>
        <w:t>6</w:t>
      </w:r>
      <w:bookmarkStart w:id="0" w:name="_GoBack"/>
      <w:bookmarkEnd w:id="0"/>
      <w:r>
        <w:rPr>
          <w:rFonts w:hint="eastAsia"/>
          <w:color w:val="000000"/>
          <w:kern w:val="0"/>
          <w:szCs w:val="31"/>
          <w:lang w:bidi="ar"/>
        </w:rPr>
        <w:t>年  月  日</w:t>
      </w:r>
    </w:p>
    <w:p w14:paraId="7AA50AA3">
      <w:pPr>
        <w:spacing w:before="100" w:line="230" w:lineRule="auto"/>
        <w:ind w:left="17"/>
        <w:rPr>
          <w:rFonts w:ascii="黑体" w:hAnsi="黑体" w:eastAsia="黑体" w:cs="黑体"/>
          <w:spacing w:val="-4"/>
          <w:sz w:val="31"/>
          <w:szCs w:val="31"/>
        </w:rPr>
      </w:pPr>
    </w:p>
    <w:p w14:paraId="7224260F">
      <w:pPr>
        <w:pStyle w:val="2"/>
        <w:spacing w:before="191" w:line="58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</w:pPr>
    </w:p>
    <w:p w14:paraId="6DF435F1">
      <w:pPr>
        <w:pStyle w:val="2"/>
        <w:spacing w:before="191" w:line="58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sectPr>
          <w:footerReference r:id="rId5" w:type="default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435" w:charSpace="0"/>
        </w:sectPr>
      </w:pPr>
    </w:p>
    <w:p w14:paraId="0893474C"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 w14:paraId="118EA3BB">
      <w:pPr>
        <w:spacing w:line="580" w:lineRule="exact"/>
        <w:jc w:val="center"/>
        <w:rPr>
          <w:rFonts w:hint="eastAsia"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</w:rPr>
        <w:t>山东省社区教育优秀课程资源遴选报</w:t>
      </w: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送</w:t>
      </w:r>
      <w:r>
        <w:rPr>
          <w:rFonts w:hint="eastAsia" w:ascii="微软雅黑" w:hAnsi="微软雅黑" w:eastAsia="微软雅黑" w:cs="微软雅黑"/>
          <w:sz w:val="43"/>
          <w:szCs w:val="43"/>
        </w:rPr>
        <w:t>汇总表</w:t>
      </w:r>
    </w:p>
    <w:p w14:paraId="041E2381">
      <w:pPr>
        <w:spacing w:line="580" w:lineRule="exact"/>
        <w:rPr>
          <w:rFonts w:hint="eastAsia"/>
        </w:rPr>
      </w:pPr>
    </w:p>
    <w:p w14:paraId="5CE5E5D8">
      <w:pPr>
        <w:spacing w:line="58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  <w:lang w:val="en-US" w:eastAsia="zh-CN"/>
        </w:rPr>
        <w:t>学院</w:t>
      </w:r>
      <w:r>
        <w:rPr>
          <w:rFonts w:hint="eastAsia" w:hAnsi="仿宋_GB2312" w:cs="仿宋_GB2312"/>
          <w:szCs w:val="32"/>
        </w:rPr>
        <w:t>（公章）             联系人：                电话：</w:t>
      </w:r>
    </w:p>
    <w:tbl>
      <w:tblPr>
        <w:tblStyle w:val="5"/>
        <w:tblW w:w="1413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7"/>
        <w:gridCol w:w="1494"/>
        <w:gridCol w:w="1364"/>
        <w:gridCol w:w="1658"/>
        <w:gridCol w:w="1418"/>
        <w:gridCol w:w="1724"/>
        <w:gridCol w:w="1658"/>
        <w:gridCol w:w="1942"/>
      </w:tblGrid>
      <w:tr w14:paraId="514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3" w:type="dxa"/>
            <w:shd w:val="clear" w:color="auto" w:fill="auto"/>
            <w:noWrap w:val="0"/>
            <w:vAlign w:val="center"/>
          </w:tcPr>
          <w:p w14:paraId="505FCD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A73CD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 w14:paraId="5D9BC8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（规范全称）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5C6BFC3C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课程资源名称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7D5148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课程资源系列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58D30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680EAC5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166A1B4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课程资源内容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1D915D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单位管理员（手机号）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44C4BE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5ED05DA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E7F833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课程资源负责人联系方式</w:t>
            </w:r>
          </w:p>
        </w:tc>
      </w:tr>
      <w:tr w14:paraId="28F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361E392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例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785BCB5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829FE9D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B508A9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老年教育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5E76B5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主动健康类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74B93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经审核，无意识形态问题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8EFE3E1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1C93C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先列负责人，后列成员名单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547734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手机号、邮箱</w:t>
            </w:r>
          </w:p>
        </w:tc>
      </w:tr>
      <w:tr w14:paraId="618C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6B3311E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7A4AD6D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0A2434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85004C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E3089F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1D0E6B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24C9E9CF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DE7C18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6BBB2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3FDC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1015A9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17C438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CBCFC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94E8D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4FBEC6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AA6306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4367FE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4C366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19F07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20C4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199D2A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37F1C6B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FE0300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77653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AAF9FA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E30975B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7EE547A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35B3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4A644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4B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A3C13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2AA0A8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46EF2D1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76AD3F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AFC047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7EA93C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65DB2DC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1578A0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2269B6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 w14:paraId="2B05B3A5">
      <w:pPr>
        <w:spacing w:line="580" w:lineRule="exact"/>
        <w:rPr>
          <w:rFonts w:hint="eastAsia"/>
          <w:szCs w:val="32"/>
        </w:rPr>
      </w:pPr>
      <w:r>
        <w:rPr>
          <w:rFonts w:hint="eastAsia" w:hAnsi="仿宋_GB2312" w:cs="仿宋_GB2312"/>
          <w:b/>
          <w:bCs/>
          <w:sz w:val="28"/>
          <w:szCs w:val="28"/>
        </w:rPr>
        <w:t>说明：</w:t>
      </w:r>
      <w:r>
        <w:rPr>
          <w:rFonts w:hint="eastAsia" w:hAnsi="仿宋_GB2312" w:cs="仿宋_GB2312"/>
          <w:sz w:val="28"/>
          <w:szCs w:val="28"/>
        </w:rPr>
        <w:t>本表需由单位管理员汇总全部课程，盖章后统一上传。</w:t>
      </w:r>
    </w:p>
    <w:sectPr>
      <w:footerReference r:id="rId8" w:type="first"/>
      <w:footerReference r:id="rId6" w:type="default"/>
      <w:footerReference r:id="rId7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1858F5-A7EF-47C1-AB01-2E5DC43A40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D47EF2-4AA9-446E-A7B9-D4649A635B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300A07-F297-49E9-A466-986E208B1B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E1FF7B8-D72A-42ED-9371-1E4BEE60027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15C7493-27F0-444E-A8D0-AF82D14634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218C4DE2-C218-42E9-B4C6-85B2239F04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F1E5">
    <w:pPr>
      <w:pStyle w:val="3"/>
      <w:framePr w:wrap="around" w:vAnchor="text" w:hAnchor="margin" w:xAlign="outside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4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302E9AA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D7E3D32"/>
    <w:rsid w:val="195B397D"/>
    <w:rsid w:val="19870DDB"/>
    <w:rsid w:val="1C191A02"/>
    <w:rsid w:val="1F7E3E04"/>
    <w:rsid w:val="290877DD"/>
    <w:rsid w:val="50026ACE"/>
    <w:rsid w:val="6AE94778"/>
    <w:rsid w:val="6DB66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11</Pages>
  <Words>2160</Words>
  <Characters>2307</Characters>
  <Lines>32</Lines>
  <Paragraphs>9</Paragraphs>
  <TotalTime>1</TotalTime>
  <ScaleCrop>false</ScaleCrop>
  <LinksUpToDate>false</LinksUpToDate>
  <CharactersWithSpaces>2367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牛健</cp:lastModifiedBy>
  <cp:lastPrinted>2022-06-08T09:23:00Z</cp:lastPrinted>
  <dcterms:modified xsi:type="dcterms:W3CDTF">2026-07-15T00:22:28Z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eyJoZGlkIjoiMjZhZjRlYTAxNDg3MzYzMDAyZDEwMGZhNjllY2VkY2EiLCJ1c2VySWQiOiIyNTY1MjU2NzcifQ==</vt:lpwstr>
  </property>
  <property fmtid="{D5CDD505-2E9C-101B-9397-08002B2CF9AE}" pid="3" name="KSOProductBuildVer">
    <vt:lpwstr>2052-12.1.0.26884</vt:lpwstr>
  </property>
  <property fmtid="{D5CDD505-2E9C-101B-9397-08002B2CF9AE}" pid="4" name="ICV">
    <vt:lpwstr>741F8E5856204CA18600095B81030EB4_13</vt:lpwstr>
  </property>
</Properties>
</file>